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3AC" w:rsidRDefault="000523AC" w:rsidP="000523AC">
      <w:pPr>
        <w:rPr>
          <w:rFonts w:ascii="Times New Roman" w:hAnsi="Times New Roman" w:cs="Times New Roman"/>
          <w:color w:val="002060"/>
          <w:sz w:val="60"/>
          <w:szCs w:val="60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60"/>
          <w:szCs w:val="60"/>
          <w:lang w:eastAsia="ru-RU"/>
        </w:rPr>
        <w:drawing>
          <wp:inline distT="0" distB="0" distL="0" distR="0">
            <wp:extent cx="3404616" cy="204216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рядчики1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4616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3AC" w:rsidRDefault="000523AC" w:rsidP="000523AC">
      <w:pPr>
        <w:rPr>
          <w:rFonts w:ascii="Times New Roman" w:hAnsi="Times New Roman" w:cs="Times New Roman"/>
          <w:color w:val="002060"/>
          <w:sz w:val="60"/>
          <w:szCs w:val="60"/>
          <w:lang w:eastAsia="ru-RU"/>
        </w:rPr>
      </w:pPr>
      <w:r>
        <w:rPr>
          <w:rFonts w:ascii="Times New Roman" w:hAnsi="Times New Roman" w:cs="Times New Roman"/>
          <w:color w:val="002060"/>
          <w:sz w:val="60"/>
          <w:szCs w:val="60"/>
          <w:lang w:eastAsia="ru-RU"/>
        </w:rPr>
        <w:t>ВНИМАНИЮ ПОДРЯДЧИКОВ!</w:t>
      </w:r>
    </w:p>
    <w:p w:rsidR="000523AC" w:rsidRPr="008E3754" w:rsidRDefault="000523AC" w:rsidP="000523AC">
      <w:pPr>
        <w:rPr>
          <w:rFonts w:ascii="Times New Roman" w:hAnsi="Times New Roman" w:cs="Times New Roman"/>
          <w:sz w:val="60"/>
          <w:szCs w:val="60"/>
          <w:lang w:eastAsia="ru-RU"/>
        </w:rPr>
      </w:pPr>
      <w:r w:rsidRPr="008E3754">
        <w:rPr>
          <w:rFonts w:ascii="Times New Roman" w:hAnsi="Times New Roman" w:cs="Times New Roman"/>
          <w:color w:val="002060"/>
          <w:sz w:val="60"/>
          <w:szCs w:val="60"/>
          <w:lang w:eastAsia="ru-RU"/>
        </w:rPr>
        <w:t>Предварительный отбор подрядных организаций</w:t>
      </w:r>
    </w:p>
    <w:p w:rsidR="004009FC" w:rsidRDefault="004009FC" w:rsidP="004009FC">
      <w:pPr>
        <w:pStyle w:val="a3"/>
        <w:shd w:val="clear" w:color="auto" w:fill="FFFFFF"/>
        <w:spacing w:before="0" w:beforeAutospacing="0" w:after="160" w:afterAutospacing="0"/>
        <w:jc w:val="both"/>
        <w:rPr>
          <w:rFonts w:ascii="MyriadPro" w:hAnsi="MyriadPro"/>
          <w:color w:val="000000"/>
          <w:sz w:val="30"/>
          <w:szCs w:val="30"/>
        </w:rPr>
      </w:pPr>
      <w:r>
        <w:rPr>
          <w:rFonts w:ascii="Calibri" w:hAnsi="Calibri"/>
          <w:color w:val="000000"/>
          <w:sz w:val="28"/>
          <w:szCs w:val="28"/>
        </w:rPr>
        <w:t>Предварительный отбор подрядных о</w:t>
      </w:r>
      <w:bookmarkStart w:id="0" w:name="_GoBack"/>
      <w:bookmarkEnd w:id="0"/>
      <w:r>
        <w:rPr>
          <w:rFonts w:ascii="Calibri" w:hAnsi="Calibri"/>
          <w:color w:val="000000"/>
          <w:sz w:val="28"/>
          <w:szCs w:val="28"/>
        </w:rPr>
        <w:t>рганизаций проводится в соответствии с постановлением Правительства Российской Федерации от 01.07.2016 № 615 «О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домах».</w:t>
      </w:r>
    </w:p>
    <w:p w:rsidR="004009FC" w:rsidRDefault="004009FC" w:rsidP="004009FC">
      <w:pPr>
        <w:pStyle w:val="a3"/>
        <w:shd w:val="clear" w:color="auto" w:fill="FFFFFF"/>
        <w:spacing w:before="0" w:beforeAutospacing="0" w:after="0" w:afterAutospacing="0"/>
        <w:jc w:val="both"/>
        <w:rPr>
          <w:rFonts w:ascii="MyriadPro" w:hAnsi="MyriadPro"/>
          <w:color w:val="000000"/>
          <w:sz w:val="30"/>
          <w:szCs w:val="30"/>
        </w:rPr>
      </w:pPr>
      <w:r>
        <w:rPr>
          <w:rFonts w:ascii="Calibri" w:hAnsi="Calibri"/>
          <w:color w:val="000000"/>
          <w:sz w:val="28"/>
          <w:szCs w:val="28"/>
        </w:rPr>
        <w:t xml:space="preserve">Согласно постановлению Правительства Тверской области от 11.12.2018 № 352-пп </w:t>
      </w:r>
      <w:hyperlink r:id="rId5" w:tgtFrame="_blank" w:history="1">
        <w:r>
          <w:rPr>
            <w:rStyle w:val="a5"/>
            <w:rFonts w:ascii="MyriadPro" w:hAnsi="MyriadPro"/>
            <w:i/>
            <w:iCs/>
            <w:color w:val="337AB7"/>
            <w:sz w:val="30"/>
            <w:szCs w:val="30"/>
            <w:u w:val="none"/>
          </w:rPr>
          <w:t>Минис</w:t>
        </w:r>
        <w:r>
          <w:rPr>
            <w:rStyle w:val="a5"/>
            <w:rFonts w:ascii="MyriadPro" w:hAnsi="MyriadPro"/>
            <w:i/>
            <w:iCs/>
            <w:color w:val="337AB7"/>
            <w:sz w:val="30"/>
            <w:szCs w:val="30"/>
            <w:u w:val="none"/>
          </w:rPr>
          <w:t>т</w:t>
        </w:r>
        <w:r>
          <w:rPr>
            <w:rStyle w:val="a5"/>
            <w:rFonts w:ascii="MyriadPro" w:hAnsi="MyriadPro"/>
            <w:i/>
            <w:iCs/>
            <w:color w:val="337AB7"/>
            <w:sz w:val="30"/>
            <w:szCs w:val="30"/>
            <w:u w:val="none"/>
          </w:rPr>
          <w:t>е</w:t>
        </w:r>
        <w:r>
          <w:rPr>
            <w:rStyle w:val="a5"/>
            <w:rFonts w:ascii="MyriadPro" w:hAnsi="MyriadPro"/>
            <w:i/>
            <w:iCs/>
            <w:color w:val="337AB7"/>
            <w:sz w:val="30"/>
            <w:szCs w:val="30"/>
            <w:u w:val="none"/>
          </w:rPr>
          <w:t>р</w:t>
        </w:r>
        <w:r>
          <w:rPr>
            <w:rStyle w:val="a5"/>
            <w:rFonts w:ascii="MyriadPro" w:hAnsi="MyriadPro"/>
            <w:i/>
            <w:iCs/>
            <w:color w:val="337AB7"/>
            <w:sz w:val="30"/>
            <w:szCs w:val="30"/>
            <w:u w:val="none"/>
          </w:rPr>
          <w:t>с</w:t>
        </w:r>
        <w:r>
          <w:rPr>
            <w:rStyle w:val="a5"/>
            <w:rFonts w:ascii="MyriadPro" w:hAnsi="MyriadPro"/>
            <w:i/>
            <w:iCs/>
            <w:color w:val="337AB7"/>
            <w:sz w:val="30"/>
            <w:szCs w:val="30"/>
            <w:u w:val="none"/>
          </w:rPr>
          <w:t>т</w:t>
        </w:r>
        <w:r>
          <w:rPr>
            <w:rStyle w:val="a5"/>
            <w:rFonts w:ascii="MyriadPro" w:hAnsi="MyriadPro"/>
            <w:i/>
            <w:iCs/>
            <w:color w:val="337AB7"/>
            <w:sz w:val="30"/>
            <w:szCs w:val="30"/>
            <w:u w:val="none"/>
          </w:rPr>
          <w:t>в</w:t>
        </w:r>
        <w:r>
          <w:rPr>
            <w:rStyle w:val="a5"/>
            <w:rFonts w:ascii="MyriadPro" w:hAnsi="MyriadPro"/>
            <w:i/>
            <w:iCs/>
            <w:color w:val="337AB7"/>
            <w:sz w:val="30"/>
            <w:szCs w:val="30"/>
            <w:u w:val="none"/>
          </w:rPr>
          <w:t>о</w:t>
        </w:r>
        <w:r>
          <w:rPr>
            <w:rStyle w:val="a5"/>
            <w:rFonts w:ascii="MyriadPro" w:hAnsi="MyriadPro"/>
            <w:i/>
            <w:iCs/>
            <w:color w:val="337AB7"/>
            <w:sz w:val="30"/>
            <w:szCs w:val="30"/>
            <w:u w:val="none"/>
          </w:rPr>
          <w:t xml:space="preserve"> с</w:t>
        </w:r>
        <w:r>
          <w:rPr>
            <w:rStyle w:val="a5"/>
            <w:rFonts w:ascii="MyriadPro" w:hAnsi="MyriadPro"/>
            <w:i/>
            <w:iCs/>
            <w:color w:val="337AB7"/>
            <w:sz w:val="30"/>
            <w:szCs w:val="30"/>
            <w:u w:val="none"/>
          </w:rPr>
          <w:t>т</w:t>
        </w:r>
        <w:r>
          <w:rPr>
            <w:rStyle w:val="a5"/>
            <w:rFonts w:ascii="MyriadPro" w:hAnsi="MyriadPro"/>
            <w:i/>
            <w:iCs/>
            <w:color w:val="337AB7"/>
            <w:sz w:val="30"/>
            <w:szCs w:val="30"/>
            <w:u w:val="none"/>
          </w:rPr>
          <w:t>роительства Тверской</w:t>
        </w:r>
      </w:hyperlink>
      <w:hyperlink r:id="rId6" w:tgtFrame="_blank" w:history="1">
        <w:r>
          <w:rPr>
            <w:rStyle w:val="a5"/>
            <w:rFonts w:ascii="MyriadPro" w:hAnsi="MyriadPro"/>
            <w:i/>
            <w:iCs/>
            <w:color w:val="337AB7"/>
            <w:sz w:val="30"/>
            <w:szCs w:val="30"/>
            <w:u w:val="none"/>
          </w:rPr>
          <w:t> об</w:t>
        </w:r>
        <w:r>
          <w:rPr>
            <w:rStyle w:val="a5"/>
            <w:rFonts w:ascii="MyriadPro" w:hAnsi="MyriadPro"/>
            <w:i/>
            <w:iCs/>
            <w:color w:val="337AB7"/>
            <w:sz w:val="30"/>
            <w:szCs w:val="30"/>
            <w:u w:val="none"/>
          </w:rPr>
          <w:t>л</w:t>
        </w:r>
        <w:r>
          <w:rPr>
            <w:rStyle w:val="a5"/>
            <w:rFonts w:ascii="MyriadPro" w:hAnsi="MyriadPro"/>
            <w:i/>
            <w:iCs/>
            <w:color w:val="337AB7"/>
            <w:sz w:val="30"/>
            <w:szCs w:val="30"/>
            <w:u w:val="none"/>
          </w:rPr>
          <w:t>асти</w:t>
        </w:r>
      </w:hyperlink>
      <w:r>
        <w:rPr>
          <w:rStyle w:val="a4"/>
          <w:rFonts w:ascii="MyriadPro" w:hAnsi="MyriadPro"/>
          <w:color w:val="000000"/>
          <w:sz w:val="30"/>
          <w:szCs w:val="30"/>
        </w:rPr>
        <w:t xml:space="preserve"> </w:t>
      </w:r>
      <w:r>
        <w:rPr>
          <w:rFonts w:ascii="Calibri" w:hAnsi="Calibri"/>
          <w:color w:val="000000"/>
          <w:sz w:val="28"/>
          <w:szCs w:val="28"/>
        </w:rPr>
        <w:t>является областным исполнительным органом государственной власти Тверской области, осуществляющим ведение реестра квалифицированных подрядных организаций для оказания услуг и (или) выполнения работ по капитальному ремонту общего имущества в многоквартирных домах на территории Тверской области.</w:t>
      </w:r>
    </w:p>
    <w:p w:rsidR="004009FC" w:rsidRDefault="004009FC" w:rsidP="004009FC">
      <w:pPr>
        <w:pStyle w:val="a3"/>
        <w:shd w:val="clear" w:color="auto" w:fill="FFFFFF"/>
        <w:spacing w:before="0" w:beforeAutospacing="0" w:after="160" w:afterAutospacing="0"/>
        <w:jc w:val="both"/>
        <w:rPr>
          <w:rFonts w:ascii="MyriadPro" w:hAnsi="MyriadPro"/>
          <w:color w:val="000000"/>
          <w:sz w:val="30"/>
          <w:szCs w:val="30"/>
        </w:rPr>
      </w:pPr>
      <w:r>
        <w:rPr>
          <w:rFonts w:ascii="Calibri" w:hAnsi="Calibri"/>
          <w:color w:val="000000"/>
          <w:sz w:val="28"/>
          <w:szCs w:val="28"/>
        </w:rPr>
        <w:t>Предварительный отбор подрядных организаций проводится на электронной торговой площадке </w:t>
      </w:r>
      <w:hyperlink r:id="rId7" w:tgtFrame="_blank" w:history="1">
        <w:r>
          <w:rPr>
            <w:rStyle w:val="a5"/>
            <w:rFonts w:ascii="Arial" w:hAnsi="Arial" w:cs="Arial"/>
          </w:rPr>
          <w:t>Сберба</w:t>
        </w:r>
        <w:r>
          <w:rPr>
            <w:rStyle w:val="a5"/>
            <w:rFonts w:ascii="Arial" w:hAnsi="Arial" w:cs="Arial"/>
          </w:rPr>
          <w:t>н</w:t>
        </w:r>
        <w:r>
          <w:rPr>
            <w:rStyle w:val="a5"/>
            <w:rFonts w:ascii="Arial" w:hAnsi="Arial" w:cs="Arial"/>
          </w:rPr>
          <w:t>к</w:t>
        </w:r>
        <w:r>
          <w:rPr>
            <w:rStyle w:val="a5"/>
            <w:rFonts w:ascii="Arial" w:hAnsi="Arial" w:cs="Arial"/>
          </w:rPr>
          <w:t>-АСТ</w:t>
        </w:r>
      </w:hyperlink>
      <w:r w:rsidR="000523AC">
        <w:rPr>
          <w:rFonts w:ascii="Arial" w:hAnsi="Arial" w:cs="Arial"/>
          <w:color w:val="000000"/>
        </w:rPr>
        <w:t>.</w:t>
      </w:r>
    </w:p>
    <w:p w:rsidR="003149B0" w:rsidRDefault="003149B0"/>
    <w:sectPr w:rsidR="00314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9FC"/>
    <w:rsid w:val="000523AC"/>
    <w:rsid w:val="003149B0"/>
    <w:rsid w:val="004009FC"/>
    <w:rsid w:val="00A7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DC4D18-5686-4DE4-A2AF-0EC2B1283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0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009FC"/>
    <w:rPr>
      <w:i/>
      <w:iCs/>
    </w:rPr>
  </w:style>
  <w:style w:type="character" w:styleId="a5">
    <w:name w:val="Hyperlink"/>
    <w:basedOn w:val="a0"/>
    <w:uiPriority w:val="99"/>
    <w:semiHidden/>
    <w:unhideWhenUsed/>
    <w:rsid w:val="004009F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009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1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tp.sberbank-ast.ru/GKH/Informer/1000287/6/50/true/true/true/true/true/true/tru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h1achfflgi.xn--80aaccp4ajwpkgbl4lpb.xn--p1ai/deyatelnost-iogv/kaprem-obsh-imush/otb-auditor-organ/" TargetMode="External"/><Relationship Id="rId5" Type="http://schemas.openxmlformats.org/officeDocument/2006/relationships/hyperlink" Target="https://xn--h1achfflgi.xn--80aaccp4ajwpkgbl4lpb.xn--p1ai/deyatelnost-iogv/kaprem-obsh-imush/otb-pod-org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Филиппова</dc:creator>
  <cp:keywords/>
  <dc:description/>
  <cp:lastModifiedBy>Алексей Смирнов</cp:lastModifiedBy>
  <cp:revision>4</cp:revision>
  <dcterms:created xsi:type="dcterms:W3CDTF">2024-08-13T11:54:00Z</dcterms:created>
  <dcterms:modified xsi:type="dcterms:W3CDTF">2026-02-03T12:46:00Z</dcterms:modified>
</cp:coreProperties>
</file>